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48DB" w:rsidRDefault="000848DB">
      <w:pPr>
        <w:rPr>
          <w:sz w:val="22"/>
          <w:szCs w:val="22"/>
        </w:rPr>
        <w:sectPr w:rsidR="000848DB" w:rsidSect="001A4B4F">
          <w:headerReference w:type="default" r:id="rId8"/>
          <w:footerReference w:type="default" r:id="rId9"/>
          <w:pgSz w:w="12240" w:h="15840"/>
          <w:pgMar w:top="1440" w:right="1440" w:bottom="1440" w:left="1440" w:header="720" w:footer="432" w:gutter="0"/>
          <w:cols w:space="720"/>
          <w:docGrid w:linePitch="360"/>
        </w:sectPr>
      </w:pPr>
    </w:p>
    <w:p w:rsidR="00697912" w:rsidRPr="00697912" w:rsidRDefault="00697912" w:rsidP="00697912">
      <w:pPr>
        <w:rPr>
          <w:sz w:val="22"/>
          <w:szCs w:val="22"/>
        </w:rPr>
      </w:pPr>
      <w:r>
        <w:rPr>
          <w:sz w:val="22"/>
          <w:szCs w:val="22"/>
        </w:rPr>
        <w:t>Tel. (207) 287-5671</w:t>
      </w:r>
      <w:r>
        <w:rPr>
          <w:sz w:val="22"/>
          <w:szCs w:val="22"/>
        </w:rPr>
        <w:tab/>
        <w:t xml:space="preserve">          </w:t>
      </w:r>
      <w:r w:rsidRPr="00697912">
        <w:rPr>
          <w:color w:val="000000"/>
          <w:sz w:val="22"/>
          <w:szCs w:val="22"/>
        </w:rPr>
        <w:t xml:space="preserve">Web Site Address: </w:t>
      </w:r>
      <w:hyperlink r:id="rId10" w:history="1">
        <w:r w:rsidRPr="00697912">
          <w:rPr>
            <w:rStyle w:val="Hyperlink"/>
            <w:sz w:val="22"/>
            <w:szCs w:val="22"/>
          </w:rPr>
          <w:t>http://www.maine.gov/healthinspection</w:t>
        </w:r>
      </w:hyperlink>
      <w:r w:rsidRPr="00697912">
        <w:rPr>
          <w:sz w:val="22"/>
          <w:szCs w:val="22"/>
        </w:rPr>
        <w:tab/>
      </w:r>
      <w:r w:rsidRPr="00697912">
        <w:rPr>
          <w:sz w:val="22"/>
          <w:szCs w:val="22"/>
        </w:rPr>
        <w:tab/>
        <w:t>Fax (207) 287-3165</w:t>
      </w:r>
    </w:p>
    <w:p w:rsidR="00697912" w:rsidRPr="00697912" w:rsidRDefault="00697912" w:rsidP="00697912">
      <w:pPr>
        <w:jc w:val="center"/>
        <w:rPr>
          <w:b/>
          <w:sz w:val="22"/>
          <w:szCs w:val="22"/>
        </w:rPr>
      </w:pPr>
    </w:p>
    <w:p w:rsidR="00697912" w:rsidRPr="00697912" w:rsidRDefault="00697912" w:rsidP="00697912">
      <w:pPr>
        <w:jc w:val="center"/>
        <w:rPr>
          <w:b/>
          <w:sz w:val="22"/>
          <w:szCs w:val="22"/>
        </w:rPr>
      </w:pPr>
      <w:r w:rsidRPr="00697912">
        <w:rPr>
          <w:b/>
          <w:sz w:val="22"/>
          <w:szCs w:val="22"/>
        </w:rPr>
        <w:t xml:space="preserve">HEALTH INSPECTION PROGRAM </w:t>
      </w:r>
    </w:p>
    <w:p w:rsidR="00697912" w:rsidRPr="00697912" w:rsidRDefault="00697912" w:rsidP="00697912">
      <w:pPr>
        <w:jc w:val="center"/>
        <w:rPr>
          <w:b/>
          <w:sz w:val="22"/>
          <w:szCs w:val="22"/>
        </w:rPr>
      </w:pPr>
      <w:r w:rsidRPr="00697912">
        <w:rPr>
          <w:b/>
          <w:sz w:val="22"/>
          <w:szCs w:val="22"/>
        </w:rPr>
        <w:t>CERTIFIED FOOD PROTECTION MANAGER REQUIREMENTS</w:t>
      </w:r>
    </w:p>
    <w:p w:rsidR="00697912" w:rsidRPr="00697912" w:rsidRDefault="00697912" w:rsidP="00697912">
      <w:pPr>
        <w:tabs>
          <w:tab w:val="left" w:pos="720"/>
          <w:tab w:val="left" w:pos="2160"/>
          <w:tab w:val="left" w:pos="2880"/>
        </w:tabs>
        <w:ind w:left="720"/>
        <w:rPr>
          <w:sz w:val="22"/>
          <w:szCs w:val="22"/>
        </w:rPr>
      </w:pPr>
    </w:p>
    <w:p w:rsidR="00697912" w:rsidRPr="00697912" w:rsidRDefault="00697912" w:rsidP="00697912">
      <w:pPr>
        <w:tabs>
          <w:tab w:val="left" w:pos="720"/>
          <w:tab w:val="left" w:pos="2160"/>
          <w:tab w:val="left" w:pos="2880"/>
        </w:tabs>
        <w:ind w:left="720"/>
        <w:rPr>
          <w:b/>
          <w:bCs/>
          <w:sz w:val="22"/>
          <w:szCs w:val="22"/>
        </w:rPr>
      </w:pPr>
      <w:r w:rsidRPr="00697912">
        <w:rPr>
          <w:sz w:val="22"/>
          <w:szCs w:val="22"/>
        </w:rPr>
        <w:t xml:space="preserve">Every eating establishment must employ on its staff a Certified Food Protection Manager (CFPM).  Some establishments are exempt from this requirement as stated below.  </w:t>
      </w:r>
      <w:r w:rsidRPr="00697912">
        <w:rPr>
          <w:bCs/>
          <w:sz w:val="22"/>
          <w:szCs w:val="22"/>
        </w:rPr>
        <w:t>A CFPM certificate must accompany the application for a new establishment and change of ownership.  A CFPM must be hired within 60 days of the departure of the last CFPM leaving employment.</w:t>
      </w:r>
      <w:r w:rsidRPr="00697912">
        <w:rPr>
          <w:b/>
          <w:bCs/>
          <w:sz w:val="22"/>
          <w:szCs w:val="22"/>
        </w:rPr>
        <w:t xml:space="preserve"> </w:t>
      </w:r>
      <w:r w:rsidRPr="00697912">
        <w:rPr>
          <w:sz w:val="22"/>
          <w:szCs w:val="22"/>
        </w:rPr>
        <w:t>Eating establishments must post in a conspicuous area the certification of the CFPM(s), and the certificate must be made available to the Department upon request.</w:t>
      </w:r>
    </w:p>
    <w:p w:rsidR="00697912" w:rsidRPr="00697912" w:rsidRDefault="00697912" w:rsidP="00697912">
      <w:pPr>
        <w:tabs>
          <w:tab w:val="left" w:pos="720"/>
          <w:tab w:val="left" w:pos="1800"/>
        </w:tabs>
        <w:ind w:left="720"/>
        <w:rPr>
          <w:sz w:val="22"/>
          <w:szCs w:val="22"/>
        </w:rPr>
      </w:pPr>
    </w:p>
    <w:p w:rsidR="00697912" w:rsidRPr="00697912" w:rsidRDefault="00697912" w:rsidP="00697912">
      <w:pPr>
        <w:tabs>
          <w:tab w:val="left" w:pos="720"/>
          <w:tab w:val="left" w:pos="2160"/>
          <w:tab w:val="left" w:pos="2880"/>
        </w:tabs>
        <w:ind w:right="288"/>
        <w:rPr>
          <w:b/>
          <w:sz w:val="22"/>
          <w:szCs w:val="22"/>
        </w:rPr>
      </w:pPr>
      <w:r w:rsidRPr="00697912">
        <w:rPr>
          <w:sz w:val="22"/>
          <w:szCs w:val="22"/>
        </w:rPr>
        <w:tab/>
      </w:r>
      <w:r w:rsidRPr="00697912">
        <w:rPr>
          <w:b/>
          <w:sz w:val="22"/>
          <w:szCs w:val="22"/>
        </w:rPr>
        <w:t>Responsibilities of the CFPM</w:t>
      </w:r>
      <w:r>
        <w:rPr>
          <w:b/>
          <w:sz w:val="22"/>
          <w:szCs w:val="22"/>
        </w:rPr>
        <w:t xml:space="preserve">  </w:t>
      </w:r>
    </w:p>
    <w:p w:rsidR="00697912" w:rsidRPr="00697912" w:rsidRDefault="00697912" w:rsidP="00697912">
      <w:pPr>
        <w:tabs>
          <w:tab w:val="left" w:pos="720"/>
          <w:tab w:val="left" w:pos="2160"/>
          <w:tab w:val="left" w:pos="2880"/>
        </w:tabs>
        <w:ind w:left="720" w:right="288"/>
        <w:rPr>
          <w:sz w:val="22"/>
          <w:szCs w:val="22"/>
        </w:rPr>
      </w:pPr>
      <w:r w:rsidRPr="00697912">
        <w:rPr>
          <w:sz w:val="22"/>
          <w:szCs w:val="22"/>
        </w:rPr>
        <w:t xml:space="preserve">The responsibilities include training and implementing a program of food protection and education for each person in charge, so that he or she will be able to successfully complete the demonstration and knowledge required of the Maine Food Code.  </w:t>
      </w:r>
    </w:p>
    <w:p w:rsidR="00697912" w:rsidRPr="00697912" w:rsidRDefault="00697912" w:rsidP="00697912">
      <w:pPr>
        <w:tabs>
          <w:tab w:val="left" w:pos="720"/>
          <w:tab w:val="left" w:pos="2160"/>
          <w:tab w:val="left" w:pos="2880"/>
        </w:tabs>
        <w:ind w:left="720" w:right="288"/>
        <w:rPr>
          <w:sz w:val="22"/>
          <w:szCs w:val="22"/>
        </w:rPr>
      </w:pPr>
    </w:p>
    <w:p w:rsidR="00697912" w:rsidRPr="00697912" w:rsidRDefault="00697912" w:rsidP="00697912">
      <w:pPr>
        <w:tabs>
          <w:tab w:val="left" w:pos="720"/>
          <w:tab w:val="left" w:pos="2160"/>
          <w:tab w:val="left" w:pos="2880"/>
        </w:tabs>
        <w:ind w:left="720" w:right="288"/>
        <w:rPr>
          <w:sz w:val="22"/>
          <w:szCs w:val="22"/>
        </w:rPr>
      </w:pPr>
      <w:proofErr w:type="gramStart"/>
      <w:r w:rsidRPr="00697912">
        <w:rPr>
          <w:sz w:val="22"/>
          <w:szCs w:val="22"/>
        </w:rPr>
        <w:t>In the event that</w:t>
      </w:r>
      <w:proofErr w:type="gramEnd"/>
      <w:r w:rsidRPr="00697912">
        <w:rPr>
          <w:sz w:val="22"/>
          <w:szCs w:val="22"/>
        </w:rPr>
        <w:t xml:space="preserve"> during an inspection by a Regulatory Authority, the person in charge is not able to make the demonstration required by the Maine Food Code or there are multiple critical violations present during such inspection, the Department may thereafter require every person in charge for such eating establishment to be a Certified Food Protection Manager.  </w:t>
      </w:r>
    </w:p>
    <w:p w:rsidR="00697912" w:rsidRPr="00697912" w:rsidRDefault="00697912" w:rsidP="00697912">
      <w:pPr>
        <w:tabs>
          <w:tab w:val="left" w:pos="720"/>
          <w:tab w:val="left" w:pos="2160"/>
          <w:tab w:val="left" w:pos="2880"/>
        </w:tabs>
        <w:ind w:left="720"/>
        <w:rPr>
          <w:color w:val="000000"/>
          <w:sz w:val="22"/>
          <w:szCs w:val="22"/>
        </w:rPr>
      </w:pPr>
    </w:p>
    <w:p w:rsidR="00697912" w:rsidRPr="00697912" w:rsidRDefault="00697912" w:rsidP="00697912">
      <w:pPr>
        <w:tabs>
          <w:tab w:val="left" w:pos="720"/>
          <w:tab w:val="left" w:pos="2160"/>
          <w:tab w:val="left" w:pos="2880"/>
        </w:tabs>
        <w:ind w:left="720"/>
        <w:rPr>
          <w:b/>
          <w:sz w:val="22"/>
          <w:szCs w:val="22"/>
        </w:rPr>
      </w:pPr>
      <w:r w:rsidRPr="00697912">
        <w:rPr>
          <w:b/>
          <w:sz w:val="22"/>
          <w:szCs w:val="22"/>
        </w:rPr>
        <w:t>Certification Requirements</w:t>
      </w:r>
    </w:p>
    <w:p w:rsidR="00697912" w:rsidRPr="00697912" w:rsidRDefault="00697912" w:rsidP="00697912">
      <w:pPr>
        <w:tabs>
          <w:tab w:val="left" w:pos="720"/>
          <w:tab w:val="left" w:pos="2160"/>
          <w:tab w:val="left" w:pos="2880"/>
        </w:tabs>
        <w:ind w:left="720"/>
        <w:rPr>
          <w:color w:val="000000"/>
          <w:sz w:val="22"/>
          <w:szCs w:val="22"/>
        </w:rPr>
      </w:pPr>
      <w:r w:rsidRPr="00697912">
        <w:rPr>
          <w:sz w:val="22"/>
          <w:szCs w:val="22"/>
        </w:rPr>
        <w:t>In the State of Maine, the following will be accepted as meeting the requirements for certification</w:t>
      </w:r>
      <w:r w:rsidRPr="00697912">
        <w:rPr>
          <w:color w:val="FF0000"/>
          <w:sz w:val="22"/>
          <w:szCs w:val="22"/>
        </w:rPr>
        <w:t>:</w:t>
      </w:r>
    </w:p>
    <w:p w:rsidR="00697912" w:rsidRPr="00697912" w:rsidRDefault="00697912" w:rsidP="00697912">
      <w:pPr>
        <w:numPr>
          <w:ilvl w:val="0"/>
          <w:numId w:val="2"/>
        </w:numPr>
        <w:tabs>
          <w:tab w:val="left" w:pos="720"/>
          <w:tab w:val="left" w:pos="1080"/>
        </w:tabs>
        <w:rPr>
          <w:sz w:val="22"/>
          <w:szCs w:val="22"/>
        </w:rPr>
      </w:pPr>
      <w:r w:rsidRPr="00697912">
        <w:rPr>
          <w:color w:val="000000"/>
          <w:sz w:val="22"/>
          <w:szCs w:val="22"/>
        </w:rPr>
        <w:t xml:space="preserve">Having written proof of completion of specialized training in the preparation and serving of safe food, such as </w:t>
      </w:r>
      <w:proofErr w:type="spellStart"/>
      <w:r w:rsidRPr="00697912">
        <w:rPr>
          <w:sz w:val="22"/>
          <w:szCs w:val="22"/>
        </w:rPr>
        <w:t>ServSafe</w:t>
      </w:r>
      <w:proofErr w:type="spellEnd"/>
      <w:r w:rsidRPr="00697912">
        <w:rPr>
          <w:sz w:val="22"/>
          <w:szCs w:val="22"/>
        </w:rPr>
        <w:t xml:space="preserve"> </w:t>
      </w:r>
      <w:r w:rsidRPr="00697912">
        <w:rPr>
          <w:sz w:val="22"/>
          <w:szCs w:val="22"/>
          <w:vertAlign w:val="superscript"/>
        </w:rPr>
        <w:t>®</w:t>
      </w:r>
      <w:r w:rsidRPr="00697912">
        <w:rPr>
          <w:color w:val="FF0000"/>
          <w:sz w:val="22"/>
          <w:szCs w:val="22"/>
        </w:rPr>
        <w:t xml:space="preserve"> </w:t>
      </w:r>
      <w:r w:rsidRPr="00697912">
        <w:rPr>
          <w:sz w:val="22"/>
          <w:szCs w:val="22"/>
        </w:rPr>
        <w:t xml:space="preserve">from the National Restaurant Association Solutions, LLC, the National Registry of Food Safety Professionals, Prometric, and 360training.com Inc, AboveTraining/StateFoodSafety.com or equivalent; and, </w:t>
      </w:r>
    </w:p>
    <w:p w:rsidR="00697912" w:rsidRPr="00697912" w:rsidRDefault="00697912" w:rsidP="00697912">
      <w:pPr>
        <w:numPr>
          <w:ilvl w:val="0"/>
          <w:numId w:val="2"/>
        </w:numPr>
        <w:tabs>
          <w:tab w:val="left" w:pos="720"/>
          <w:tab w:val="left" w:pos="1080"/>
        </w:tabs>
        <w:rPr>
          <w:sz w:val="22"/>
          <w:szCs w:val="22"/>
        </w:rPr>
      </w:pPr>
      <w:r w:rsidRPr="00697912">
        <w:rPr>
          <w:color w:val="000000"/>
          <w:sz w:val="22"/>
          <w:szCs w:val="22"/>
        </w:rPr>
        <w:t>Receiving a passing grade on a competency test, approved by the National Conference for Food Protection (CFP).  Such CFPM certification shall be renewed through re-training and re-testing every 5 years.</w:t>
      </w:r>
    </w:p>
    <w:p w:rsidR="00697912" w:rsidRPr="00697912" w:rsidRDefault="00697912" w:rsidP="00697912">
      <w:pPr>
        <w:tabs>
          <w:tab w:val="left" w:pos="720"/>
          <w:tab w:val="left" w:pos="2160"/>
          <w:tab w:val="left" w:pos="2880"/>
        </w:tabs>
        <w:ind w:left="720"/>
        <w:rPr>
          <w:sz w:val="22"/>
          <w:szCs w:val="22"/>
        </w:rPr>
      </w:pPr>
    </w:p>
    <w:p w:rsidR="00697912" w:rsidRPr="00697912" w:rsidRDefault="00697912" w:rsidP="00697912">
      <w:pPr>
        <w:tabs>
          <w:tab w:val="left" w:pos="720"/>
          <w:tab w:val="left" w:pos="2160"/>
          <w:tab w:val="left" w:pos="2880"/>
        </w:tabs>
        <w:ind w:left="720"/>
        <w:rPr>
          <w:b/>
          <w:sz w:val="22"/>
          <w:szCs w:val="22"/>
        </w:rPr>
      </w:pPr>
      <w:r w:rsidRPr="00697912">
        <w:rPr>
          <w:b/>
          <w:sz w:val="22"/>
          <w:szCs w:val="22"/>
        </w:rPr>
        <w:t>Exemptions</w:t>
      </w:r>
    </w:p>
    <w:p w:rsidR="00697912" w:rsidRPr="00697912" w:rsidRDefault="00697912" w:rsidP="00697912">
      <w:pPr>
        <w:tabs>
          <w:tab w:val="left" w:pos="720"/>
          <w:tab w:val="left" w:pos="2160"/>
          <w:tab w:val="left" w:pos="2880"/>
        </w:tabs>
        <w:ind w:left="720"/>
        <w:rPr>
          <w:sz w:val="22"/>
          <w:szCs w:val="22"/>
        </w:rPr>
      </w:pPr>
      <w:r w:rsidRPr="00697912">
        <w:rPr>
          <w:sz w:val="22"/>
          <w:szCs w:val="22"/>
        </w:rPr>
        <w:t>When considering the certification of a CFPM, the following establishments are exempt from the CFPM requirement:</w:t>
      </w:r>
      <w:bookmarkStart w:id="0" w:name="_GoBack"/>
      <w:bookmarkEnd w:id="0"/>
    </w:p>
    <w:p w:rsidR="00697912" w:rsidRPr="00697912" w:rsidRDefault="00697912" w:rsidP="00697912">
      <w:pPr>
        <w:numPr>
          <w:ilvl w:val="2"/>
          <w:numId w:val="1"/>
        </w:numPr>
        <w:tabs>
          <w:tab w:val="left" w:pos="1170"/>
          <w:tab w:val="left" w:pos="1440"/>
          <w:tab w:val="left" w:pos="2160"/>
          <w:tab w:val="left" w:pos="2880"/>
        </w:tabs>
        <w:ind w:left="1170" w:right="378" w:hanging="450"/>
        <w:rPr>
          <w:sz w:val="22"/>
          <w:szCs w:val="22"/>
        </w:rPr>
      </w:pPr>
      <w:r w:rsidRPr="00697912">
        <w:rPr>
          <w:sz w:val="22"/>
          <w:szCs w:val="22"/>
        </w:rPr>
        <w:t>Bed and Breakfast establishments with 5 rooms or less;</w:t>
      </w:r>
    </w:p>
    <w:p w:rsidR="00697912" w:rsidRPr="00697912" w:rsidRDefault="00697912" w:rsidP="00697912">
      <w:pPr>
        <w:numPr>
          <w:ilvl w:val="2"/>
          <w:numId w:val="1"/>
        </w:numPr>
        <w:tabs>
          <w:tab w:val="clear" w:pos="2700"/>
          <w:tab w:val="left" w:pos="1170"/>
          <w:tab w:val="left" w:pos="1440"/>
          <w:tab w:val="num" w:pos="2160"/>
          <w:tab w:val="left" w:pos="2880"/>
        </w:tabs>
        <w:ind w:left="1170" w:right="378" w:hanging="450"/>
        <w:rPr>
          <w:sz w:val="22"/>
          <w:szCs w:val="22"/>
        </w:rPr>
      </w:pPr>
      <w:r w:rsidRPr="00697912">
        <w:rPr>
          <w:sz w:val="22"/>
          <w:szCs w:val="22"/>
        </w:rPr>
        <w:t>Bed and Breakfast and lodging establishments that serve a continental breakfast consisting of non-potentially hazardous baked goods, whole fruit or fruit sliced for same-day service, cereal, milk, juice, portion-controlled cream cheese, portioned-controlled peanut butter, and portion-controlled jam or jelly.</w:t>
      </w:r>
    </w:p>
    <w:p w:rsidR="00697912" w:rsidRPr="00697912" w:rsidRDefault="00697912" w:rsidP="00697912">
      <w:pPr>
        <w:numPr>
          <w:ilvl w:val="2"/>
          <w:numId w:val="1"/>
        </w:numPr>
        <w:tabs>
          <w:tab w:val="left" w:pos="1170"/>
          <w:tab w:val="left" w:pos="1440"/>
          <w:tab w:val="left" w:pos="2160"/>
          <w:tab w:val="left" w:pos="2880"/>
        </w:tabs>
        <w:ind w:left="1170" w:right="378" w:hanging="450"/>
        <w:rPr>
          <w:sz w:val="22"/>
          <w:szCs w:val="22"/>
        </w:rPr>
      </w:pPr>
      <w:r w:rsidRPr="00697912">
        <w:rPr>
          <w:sz w:val="22"/>
          <w:szCs w:val="22"/>
        </w:rPr>
        <w:t xml:space="preserve">Temporary eating establishments that operate fewer than 14 days;  </w:t>
      </w:r>
    </w:p>
    <w:p w:rsidR="00697912" w:rsidRPr="00697912" w:rsidRDefault="00697912" w:rsidP="00697912">
      <w:pPr>
        <w:numPr>
          <w:ilvl w:val="1"/>
          <w:numId w:val="1"/>
        </w:numPr>
        <w:tabs>
          <w:tab w:val="clear" w:pos="1800"/>
          <w:tab w:val="left" w:pos="1170"/>
          <w:tab w:val="left" w:pos="1440"/>
          <w:tab w:val="num" w:pos="2160"/>
          <w:tab w:val="left" w:pos="2880"/>
        </w:tabs>
        <w:ind w:left="1170" w:right="378" w:hanging="450"/>
        <w:rPr>
          <w:sz w:val="22"/>
          <w:szCs w:val="22"/>
        </w:rPr>
      </w:pPr>
      <w:r w:rsidRPr="00697912">
        <w:rPr>
          <w:sz w:val="22"/>
          <w:szCs w:val="22"/>
        </w:rPr>
        <w:t>Establishments that serve or sell non-potentially hazardous pre-packaged foods;</w:t>
      </w:r>
    </w:p>
    <w:p w:rsidR="00697912" w:rsidRPr="00697912" w:rsidRDefault="00697912" w:rsidP="00697912">
      <w:pPr>
        <w:numPr>
          <w:ilvl w:val="2"/>
          <w:numId w:val="1"/>
        </w:numPr>
        <w:tabs>
          <w:tab w:val="left" w:pos="1170"/>
          <w:tab w:val="left" w:pos="1440"/>
          <w:tab w:val="left" w:pos="2160"/>
          <w:tab w:val="left" w:pos="2880"/>
        </w:tabs>
        <w:ind w:left="1170" w:right="378" w:hanging="450"/>
        <w:rPr>
          <w:sz w:val="22"/>
          <w:szCs w:val="22"/>
        </w:rPr>
      </w:pPr>
      <w:r w:rsidRPr="00697912">
        <w:rPr>
          <w:sz w:val="22"/>
          <w:szCs w:val="22"/>
        </w:rPr>
        <w:t>Establishments that prepare only non-potentially hazardous foods;</w:t>
      </w:r>
    </w:p>
    <w:p w:rsidR="00697912" w:rsidRPr="00697912" w:rsidRDefault="00697912" w:rsidP="00697912">
      <w:pPr>
        <w:numPr>
          <w:ilvl w:val="1"/>
          <w:numId w:val="1"/>
        </w:numPr>
        <w:tabs>
          <w:tab w:val="clear" w:pos="1800"/>
          <w:tab w:val="left" w:pos="1170"/>
          <w:tab w:val="left" w:pos="1440"/>
          <w:tab w:val="num" w:pos="2160"/>
          <w:tab w:val="left" w:pos="2880"/>
        </w:tabs>
        <w:ind w:left="1170" w:right="378" w:hanging="450"/>
        <w:rPr>
          <w:sz w:val="22"/>
          <w:szCs w:val="22"/>
        </w:rPr>
      </w:pPr>
      <w:r w:rsidRPr="00697912">
        <w:rPr>
          <w:sz w:val="22"/>
          <w:szCs w:val="22"/>
        </w:rPr>
        <w:t>Establishments that heat only commercially processed potentially hazardous foods for hot holding. No cooling of potentially hazardous foods;</w:t>
      </w:r>
    </w:p>
    <w:p w:rsidR="00697912" w:rsidRPr="00697912" w:rsidRDefault="00697912" w:rsidP="00697912">
      <w:pPr>
        <w:numPr>
          <w:ilvl w:val="1"/>
          <w:numId w:val="1"/>
        </w:numPr>
        <w:tabs>
          <w:tab w:val="clear" w:pos="1800"/>
          <w:tab w:val="left" w:pos="1170"/>
          <w:tab w:val="left" w:pos="1440"/>
          <w:tab w:val="num" w:pos="2160"/>
          <w:tab w:val="left" w:pos="2880"/>
        </w:tabs>
        <w:ind w:left="1170" w:right="378" w:hanging="450"/>
        <w:rPr>
          <w:sz w:val="22"/>
          <w:szCs w:val="22"/>
        </w:rPr>
      </w:pPr>
      <w:r w:rsidRPr="00697912">
        <w:rPr>
          <w:sz w:val="22"/>
          <w:szCs w:val="22"/>
        </w:rPr>
        <w:t>Sporting, Recreational, or bear camps operating 90 days or less and serving only their own guests;</w:t>
      </w:r>
    </w:p>
    <w:p w:rsidR="008735F3" w:rsidRPr="00697912" w:rsidRDefault="00697912" w:rsidP="004D40A4">
      <w:pPr>
        <w:numPr>
          <w:ilvl w:val="1"/>
          <w:numId w:val="1"/>
        </w:numPr>
        <w:tabs>
          <w:tab w:val="clear" w:pos="1800"/>
          <w:tab w:val="left" w:pos="1170"/>
          <w:tab w:val="left" w:pos="1440"/>
          <w:tab w:val="num" w:pos="2160"/>
          <w:tab w:val="left" w:pos="2880"/>
        </w:tabs>
        <w:ind w:left="1170" w:right="378" w:hanging="450"/>
        <w:rPr>
          <w:sz w:val="22"/>
          <w:szCs w:val="22"/>
        </w:rPr>
      </w:pPr>
      <w:r w:rsidRPr="00697912">
        <w:rPr>
          <w:sz w:val="22"/>
          <w:szCs w:val="22"/>
        </w:rPr>
        <w:t>Eating Establishments which pose minimal risk of causing or contributing to foodborne illness, based on the nature of the operation and the extent of food preparation.</w:t>
      </w:r>
      <w:r w:rsidRPr="00697912">
        <w:rPr>
          <w:sz w:val="22"/>
          <w:szCs w:val="22"/>
        </w:rPr>
        <w:tab/>
      </w:r>
      <w:r w:rsidRPr="00697912">
        <w:rPr>
          <w:sz w:val="22"/>
          <w:szCs w:val="22"/>
        </w:rPr>
        <w:tab/>
      </w:r>
      <w:r w:rsidRPr="00697912">
        <w:rPr>
          <w:sz w:val="22"/>
          <w:szCs w:val="22"/>
        </w:rPr>
        <w:tab/>
      </w:r>
    </w:p>
    <w:p w:rsidR="001A4B4F" w:rsidRPr="00697912" w:rsidRDefault="001A4B4F" w:rsidP="008735F3">
      <w:pPr>
        <w:rPr>
          <w:sz w:val="22"/>
          <w:szCs w:val="22"/>
        </w:rPr>
      </w:pPr>
    </w:p>
    <w:sectPr w:rsidR="001A4B4F" w:rsidRPr="00697912" w:rsidSect="00697912">
      <w:headerReference w:type="default" r:id="rId11"/>
      <w:footerReference w:type="default" r:id="rId12"/>
      <w:type w:val="continuous"/>
      <w:pgSz w:w="12240" w:h="15840"/>
      <w:pgMar w:top="720" w:right="72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4FAF" w:rsidRDefault="00F24FAF" w:rsidP="00263AA1">
      <w:r>
        <w:separator/>
      </w:r>
    </w:p>
  </w:endnote>
  <w:endnote w:type="continuationSeparator" w:id="0">
    <w:p w:rsidR="00F24FAF" w:rsidRDefault="00F24FAF" w:rsidP="0026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7912" w:rsidRPr="00697912" w:rsidRDefault="00697912" w:rsidP="00697912">
    <w:pPr>
      <w:tabs>
        <w:tab w:val="left" w:pos="1170"/>
        <w:tab w:val="left" w:pos="2880"/>
      </w:tabs>
      <w:ind w:right="378"/>
      <w:rPr>
        <w:sz w:val="22"/>
        <w:szCs w:val="22"/>
      </w:rPr>
    </w:pPr>
    <w:r w:rsidRPr="00697912">
      <w:rPr>
        <w:sz w:val="22"/>
        <w:szCs w:val="22"/>
      </w:rPr>
      <w:t>1/7/19</w:t>
    </w:r>
  </w:p>
  <w:p w:rsidR="00697912" w:rsidRDefault="006979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073" w:rsidRPr="00F20073" w:rsidRDefault="00F20073" w:rsidP="00F20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4FAF" w:rsidRDefault="00F24FAF" w:rsidP="00263AA1">
      <w:r>
        <w:separator/>
      </w:r>
    </w:p>
  </w:footnote>
  <w:footnote w:type="continuationSeparator" w:id="0">
    <w:p w:rsidR="00F24FAF" w:rsidRDefault="00F24FAF" w:rsidP="00263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3AA1" w:rsidRDefault="0001689D" w:rsidP="00CE0951">
    <w:pPr>
      <w:ind w:left="3600"/>
      <w:rPr>
        <w:sz w:val="18"/>
        <w:szCs w:val="18"/>
      </w:rPr>
    </w:pPr>
    <w:r w:rsidRPr="000D047A">
      <w:rPr>
        <w:noProof/>
        <w:sz w:val="18"/>
        <w:szCs w:val="18"/>
      </w:rPr>
      <mc:AlternateContent>
        <mc:Choice Requires="wps">
          <w:drawing>
            <wp:anchor distT="45720" distB="45720" distL="114300" distR="114300" simplePos="0" relativeHeight="251661312" behindDoc="0" locked="0" layoutInCell="1" allowOverlap="1">
              <wp:simplePos x="0" y="0"/>
              <wp:positionH relativeFrom="column">
                <wp:posOffset>3398520</wp:posOffset>
              </wp:positionH>
              <wp:positionV relativeFrom="paragraph">
                <wp:posOffset>7620</wp:posOffset>
              </wp:positionV>
              <wp:extent cx="2945765" cy="1041400"/>
              <wp:effectExtent l="0" t="0" r="6985" b="63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5765" cy="1041400"/>
                      </a:xfrm>
                      <a:prstGeom prst="rect">
                        <a:avLst/>
                      </a:prstGeom>
                      <a:solidFill>
                        <a:srgbClr val="FFFFFF"/>
                      </a:solidFill>
                      <a:ln w="9525">
                        <a:noFill/>
                        <a:miter lim="800000"/>
                        <a:headEnd/>
                        <a:tailEnd/>
                      </a:ln>
                    </wps:spPr>
                    <wps:txbx>
                      <w:txbxContent>
                        <w:p w:rsidR="000D047A" w:rsidRPr="00695A3C" w:rsidRDefault="00BE7DFC" w:rsidP="00695A3C">
                          <w:pPr>
                            <w:jc w:val="right"/>
                            <w:rPr>
                              <w:b/>
                              <w:color w:val="365F91" w:themeColor="accent1" w:themeShade="BF"/>
                              <w:sz w:val="18"/>
                              <w:szCs w:val="18"/>
                            </w:rPr>
                          </w:pPr>
                          <w:r w:rsidRPr="00695A3C">
                            <w:rPr>
                              <w:b/>
                              <w:color w:val="365F91" w:themeColor="accent1" w:themeShade="BF"/>
                              <w:sz w:val="18"/>
                              <w:szCs w:val="18"/>
                            </w:rPr>
                            <w:t xml:space="preserve">Maine </w:t>
                          </w:r>
                          <w:r w:rsidR="000D047A" w:rsidRPr="00695A3C">
                            <w:rPr>
                              <w:b/>
                              <w:color w:val="365F91" w:themeColor="accent1" w:themeShade="BF"/>
                              <w:sz w:val="18"/>
                              <w:szCs w:val="18"/>
                            </w:rPr>
                            <w:t>Department of Health and Human Services</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Maine Center for Disease Control and Prevention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11 State House Station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286 Water Street</w:t>
                          </w:r>
                        </w:p>
                        <w:p w:rsidR="00387A76" w:rsidRPr="0013585E" w:rsidRDefault="000D047A" w:rsidP="00695A3C">
                          <w:pPr>
                            <w:jc w:val="right"/>
                            <w:rPr>
                              <w:b/>
                              <w:color w:val="365F91" w:themeColor="accent1" w:themeShade="BF"/>
                              <w:sz w:val="18"/>
                              <w:szCs w:val="18"/>
                            </w:rPr>
                          </w:pPr>
                          <w:r w:rsidRPr="0013585E">
                            <w:rPr>
                              <w:b/>
                              <w:color w:val="365F91" w:themeColor="accent1" w:themeShade="BF"/>
                              <w:sz w:val="18"/>
                              <w:szCs w:val="18"/>
                            </w:rPr>
                            <w:t>Augusta, Maine 04333-0011</w:t>
                          </w:r>
                        </w:p>
                        <w:p w:rsidR="00BF0698" w:rsidRPr="0013585E" w:rsidRDefault="00BF0698" w:rsidP="00695A3C">
                          <w:pPr>
                            <w:ind w:left="720"/>
                            <w:jc w:val="right"/>
                            <w:rPr>
                              <w:b/>
                              <w:color w:val="365F91" w:themeColor="accent1" w:themeShade="BF"/>
                              <w:sz w:val="18"/>
                              <w:szCs w:val="18"/>
                            </w:rPr>
                          </w:pPr>
                          <w:r w:rsidRPr="0013585E">
                            <w:rPr>
                              <w:b/>
                              <w:color w:val="365F91" w:themeColor="accent1" w:themeShade="BF"/>
                              <w:sz w:val="18"/>
                              <w:szCs w:val="18"/>
                            </w:rPr>
                            <w:t>Tel; (207) 287-</w:t>
                          </w:r>
                          <w:r w:rsidR="00695A3C">
                            <w:rPr>
                              <w:b/>
                              <w:color w:val="365F91" w:themeColor="accent1" w:themeShade="BF"/>
                              <w:sz w:val="18"/>
                              <w:szCs w:val="18"/>
                            </w:rPr>
                            <w:t>8016</w:t>
                          </w:r>
                          <w:r w:rsidR="0013585E" w:rsidRPr="0013585E">
                            <w:rPr>
                              <w:b/>
                              <w:color w:val="365F91" w:themeColor="accent1" w:themeShade="BF"/>
                              <w:sz w:val="18"/>
                              <w:szCs w:val="18"/>
                            </w:rPr>
                            <w:t>; Fax</w:t>
                          </w:r>
                          <w:r w:rsidRPr="0013585E">
                            <w:rPr>
                              <w:b/>
                              <w:color w:val="365F91" w:themeColor="accent1" w:themeShade="BF"/>
                              <w:sz w:val="18"/>
                              <w:szCs w:val="18"/>
                            </w:rPr>
                            <w:t xml:space="preserve"> (207) 287-</w:t>
                          </w:r>
                          <w:r w:rsidR="00695A3C">
                            <w:rPr>
                              <w:b/>
                              <w:color w:val="365F91" w:themeColor="accent1" w:themeShade="BF"/>
                              <w:sz w:val="18"/>
                              <w:szCs w:val="18"/>
                            </w:rPr>
                            <w:t>9058</w:t>
                          </w:r>
                        </w:p>
                        <w:p w:rsidR="004A2C04" w:rsidRPr="0001689D" w:rsidRDefault="0001689D" w:rsidP="00695A3C">
                          <w:pPr>
                            <w:jc w:val="right"/>
                            <w:rPr>
                              <w:b/>
                              <w:color w:val="365F91" w:themeColor="accent1" w:themeShade="BF"/>
                              <w:sz w:val="18"/>
                              <w:szCs w:val="18"/>
                            </w:rPr>
                          </w:pPr>
                          <w:r w:rsidRPr="0013585E">
                            <w:rPr>
                              <w:b/>
                              <w:color w:val="365F91" w:themeColor="accent1" w:themeShade="BF"/>
                              <w:sz w:val="18"/>
                              <w:szCs w:val="18"/>
                            </w:rPr>
                            <w:t>TTY: Dial 711 (Maine</w:t>
                          </w:r>
                          <w:r w:rsidR="00387A76" w:rsidRPr="0013585E">
                            <w:rPr>
                              <w:b/>
                              <w:color w:val="365F91" w:themeColor="accent1" w:themeShade="BF"/>
                              <w:sz w:val="18"/>
                              <w:szCs w:val="18"/>
                            </w:rPr>
                            <w:t xml:space="preserve"> Relay)</w:t>
                          </w:r>
                          <w:r w:rsidRPr="0001689D">
                            <w:rPr>
                              <w:b/>
                              <w:color w:val="365F91" w:themeColor="accent1" w:themeShade="BF"/>
                              <w:sz w:val="18"/>
                              <w:szCs w:val="18"/>
                            </w:rPr>
                            <w:t xml:space="preserve"> </w:t>
                          </w:r>
                        </w:p>
                        <w:p w:rsidR="000D047A" w:rsidRPr="00287C76" w:rsidRDefault="000D047A" w:rsidP="00BF0698">
                          <w:pPr>
                            <w:jc w:val="righ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67.6pt;margin-top:.6pt;width:231.95pt;height:8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" stroked="f">
              <v:textbox>
                <w:txbxContent>
                  <w:p w:rsidR="000D047A" w:rsidRPr="00695A3C" w:rsidRDefault="00BE7DFC" w:rsidP="00695A3C">
                    <w:pPr>
                      <w:jc w:val="right"/>
                      <w:rPr>
                        <w:b/>
                        <w:color w:val="365F91" w:themeColor="accent1" w:themeShade="BF"/>
                        <w:sz w:val="18"/>
                        <w:szCs w:val="18"/>
                      </w:rPr>
                    </w:pPr>
                    <w:r w:rsidRPr="00695A3C">
                      <w:rPr>
                        <w:b/>
                        <w:color w:val="365F91" w:themeColor="accent1" w:themeShade="BF"/>
                        <w:sz w:val="18"/>
                        <w:szCs w:val="18"/>
                      </w:rPr>
                      <w:t xml:space="preserve">Maine </w:t>
                    </w:r>
                    <w:r w:rsidR="000D047A" w:rsidRPr="00695A3C">
                      <w:rPr>
                        <w:b/>
                        <w:color w:val="365F91" w:themeColor="accent1" w:themeShade="BF"/>
                        <w:sz w:val="18"/>
                        <w:szCs w:val="18"/>
                      </w:rPr>
                      <w:t>Department of Health and Human Services</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Maine Center for Disease Control and Prevention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11 State House Station</w:t>
                    </w:r>
                  </w:p>
                  <w:p w:rsidR="00695A3C" w:rsidRPr="00695A3C" w:rsidRDefault="00695A3C" w:rsidP="00695A3C">
                    <w:pPr>
                      <w:jc w:val="right"/>
                      <w:rPr>
                        <w:b/>
                        <w:color w:val="365F91" w:themeColor="accent1" w:themeShade="BF"/>
                        <w:sz w:val="18"/>
                        <w:szCs w:val="18"/>
                      </w:rPr>
                    </w:pPr>
                    <w:r w:rsidRPr="00695A3C">
                      <w:rPr>
                        <w:b/>
                        <w:color w:val="365F91" w:themeColor="accent1" w:themeShade="BF"/>
                        <w:sz w:val="18"/>
                        <w:szCs w:val="18"/>
                      </w:rPr>
                      <w:t>286 Water Street</w:t>
                    </w:r>
                  </w:p>
                  <w:p w:rsidR="00387A76" w:rsidRPr="0013585E" w:rsidRDefault="000D047A" w:rsidP="00695A3C">
                    <w:pPr>
                      <w:jc w:val="right"/>
                      <w:rPr>
                        <w:b/>
                        <w:color w:val="365F91" w:themeColor="accent1" w:themeShade="BF"/>
                        <w:sz w:val="18"/>
                        <w:szCs w:val="18"/>
                      </w:rPr>
                    </w:pPr>
                    <w:r w:rsidRPr="0013585E">
                      <w:rPr>
                        <w:b/>
                        <w:color w:val="365F91" w:themeColor="accent1" w:themeShade="BF"/>
                        <w:sz w:val="18"/>
                        <w:szCs w:val="18"/>
                      </w:rPr>
                      <w:t>Augusta, Maine 04333-0011</w:t>
                    </w:r>
                  </w:p>
                  <w:p w:rsidR="00BF0698" w:rsidRPr="0013585E" w:rsidRDefault="00BF0698" w:rsidP="00695A3C">
                    <w:pPr>
                      <w:ind w:left="720"/>
                      <w:jc w:val="right"/>
                      <w:rPr>
                        <w:b/>
                        <w:color w:val="365F91" w:themeColor="accent1" w:themeShade="BF"/>
                        <w:sz w:val="18"/>
                        <w:szCs w:val="18"/>
                      </w:rPr>
                    </w:pPr>
                    <w:r w:rsidRPr="0013585E">
                      <w:rPr>
                        <w:b/>
                        <w:color w:val="365F91" w:themeColor="accent1" w:themeShade="BF"/>
                        <w:sz w:val="18"/>
                        <w:szCs w:val="18"/>
                      </w:rPr>
                      <w:t>Tel; (207) 287-</w:t>
                    </w:r>
                    <w:r w:rsidR="00695A3C">
                      <w:rPr>
                        <w:b/>
                        <w:color w:val="365F91" w:themeColor="accent1" w:themeShade="BF"/>
                        <w:sz w:val="18"/>
                        <w:szCs w:val="18"/>
                      </w:rPr>
                      <w:t>8016</w:t>
                    </w:r>
                    <w:r w:rsidR="0013585E" w:rsidRPr="0013585E">
                      <w:rPr>
                        <w:b/>
                        <w:color w:val="365F91" w:themeColor="accent1" w:themeShade="BF"/>
                        <w:sz w:val="18"/>
                        <w:szCs w:val="18"/>
                      </w:rPr>
                      <w:t>; Fax</w:t>
                    </w:r>
                    <w:r w:rsidRPr="0013585E">
                      <w:rPr>
                        <w:b/>
                        <w:color w:val="365F91" w:themeColor="accent1" w:themeShade="BF"/>
                        <w:sz w:val="18"/>
                        <w:szCs w:val="18"/>
                      </w:rPr>
                      <w:t xml:space="preserve"> (207) 287-</w:t>
                    </w:r>
                    <w:r w:rsidR="00695A3C">
                      <w:rPr>
                        <w:b/>
                        <w:color w:val="365F91" w:themeColor="accent1" w:themeShade="BF"/>
                        <w:sz w:val="18"/>
                        <w:szCs w:val="18"/>
                      </w:rPr>
                      <w:t>9058</w:t>
                    </w:r>
                  </w:p>
                  <w:p w:rsidR="004A2C04" w:rsidRPr="0001689D" w:rsidRDefault="0001689D" w:rsidP="00695A3C">
                    <w:pPr>
                      <w:jc w:val="right"/>
                      <w:rPr>
                        <w:b/>
                        <w:color w:val="365F91" w:themeColor="accent1" w:themeShade="BF"/>
                        <w:sz w:val="18"/>
                        <w:szCs w:val="18"/>
                      </w:rPr>
                    </w:pPr>
                    <w:r w:rsidRPr="0013585E">
                      <w:rPr>
                        <w:b/>
                        <w:color w:val="365F91" w:themeColor="accent1" w:themeShade="BF"/>
                        <w:sz w:val="18"/>
                        <w:szCs w:val="18"/>
                      </w:rPr>
                      <w:t>TTY: Dial 711 (Maine</w:t>
                    </w:r>
                    <w:r w:rsidR="00387A76" w:rsidRPr="0013585E">
                      <w:rPr>
                        <w:b/>
                        <w:color w:val="365F91" w:themeColor="accent1" w:themeShade="BF"/>
                        <w:sz w:val="18"/>
                        <w:szCs w:val="18"/>
                      </w:rPr>
                      <w:t xml:space="preserve"> Relay)</w:t>
                    </w:r>
                    <w:r w:rsidRPr="0001689D">
                      <w:rPr>
                        <w:b/>
                        <w:color w:val="365F91" w:themeColor="accent1" w:themeShade="BF"/>
                        <w:sz w:val="18"/>
                        <w:szCs w:val="18"/>
                      </w:rPr>
                      <w:t xml:space="preserve"> </w:t>
                    </w:r>
                  </w:p>
                  <w:p w:rsidR="000D047A" w:rsidRPr="00287C76" w:rsidRDefault="000D047A" w:rsidP="00BF0698">
                    <w:pPr>
                      <w:jc w:val="right"/>
                      <w:rPr>
                        <w:sz w:val="18"/>
                        <w:szCs w:val="18"/>
                      </w:rPr>
                    </w:pPr>
                  </w:p>
                </w:txbxContent>
              </v:textbox>
              <w10:wrap type="square"/>
            </v:shape>
          </w:pict>
        </mc:Fallback>
      </mc:AlternateContent>
    </w:r>
    <w:r w:rsidR="005E4FFE" w:rsidRPr="00137857">
      <w:rPr>
        <w:noProof/>
        <w:sz w:val="18"/>
        <w:szCs w:val="18"/>
      </w:rPr>
      <mc:AlternateContent>
        <mc:Choice Requires="wps">
          <w:drawing>
            <wp:anchor distT="45720" distB="45720" distL="114300" distR="114300" simplePos="0" relativeHeight="251665408" behindDoc="0" locked="0" layoutInCell="1" allowOverlap="1" wp14:anchorId="5A276C59" wp14:editId="3574752A">
              <wp:simplePos x="0" y="0"/>
              <wp:positionH relativeFrom="margin">
                <wp:posOffset>-213360</wp:posOffset>
              </wp:positionH>
              <wp:positionV relativeFrom="paragraph">
                <wp:posOffset>464820</wp:posOffset>
              </wp:positionV>
              <wp:extent cx="1607820" cy="3683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368300"/>
                      </a:xfrm>
                      <a:prstGeom prst="rect">
                        <a:avLst/>
                      </a:prstGeom>
                      <a:solidFill>
                        <a:srgbClr val="FFFFFF"/>
                      </a:solidFill>
                      <a:ln w="9525">
                        <a:noFill/>
                        <a:miter lim="800000"/>
                        <a:headEnd/>
                        <a:tailEnd/>
                      </a:ln>
                    </wps:spPr>
                    <wps:txbx>
                      <w:txbxContent>
                        <w:p w:rsidR="005E4FFE" w:rsidRPr="00287C76" w:rsidRDefault="005E4FFE" w:rsidP="005E4FFE">
                          <w:pPr>
                            <w:tabs>
                              <w:tab w:val="left" w:pos="7560"/>
                            </w:tabs>
                            <w:rPr>
                              <w:b/>
                              <w:color w:val="365F91" w:themeColor="accent1" w:themeShade="BF"/>
                              <w:sz w:val="18"/>
                              <w:szCs w:val="18"/>
                            </w:rPr>
                          </w:pPr>
                          <w:r>
                            <w:rPr>
                              <w:b/>
                              <w:color w:val="365F91" w:themeColor="accent1" w:themeShade="BF"/>
                              <w:sz w:val="18"/>
                              <w:szCs w:val="18"/>
                            </w:rPr>
                            <w:t xml:space="preserve">Jeanne M. </w:t>
                          </w:r>
                          <w:proofErr w:type="spellStart"/>
                          <w:r>
                            <w:rPr>
                              <w:b/>
                              <w:color w:val="365F91" w:themeColor="accent1" w:themeShade="BF"/>
                              <w:sz w:val="18"/>
                              <w:szCs w:val="18"/>
                            </w:rPr>
                            <w:t>Lambrew</w:t>
                          </w:r>
                          <w:proofErr w:type="spellEnd"/>
                          <w:r>
                            <w:rPr>
                              <w:b/>
                              <w:color w:val="365F91" w:themeColor="accent1" w:themeShade="BF"/>
                              <w:sz w:val="18"/>
                              <w:szCs w:val="18"/>
                            </w:rPr>
                            <w:t>, Ph.D.</w:t>
                          </w:r>
                        </w:p>
                        <w:p w:rsidR="005E4FFE" w:rsidRPr="00287C76" w:rsidRDefault="005E4FFE" w:rsidP="005E4FFE">
                          <w:pPr>
                            <w:tabs>
                              <w:tab w:val="left" w:pos="7560"/>
                            </w:tabs>
                            <w:rPr>
                              <w:sz w:val="18"/>
                              <w:szCs w:val="18"/>
                            </w:rPr>
                          </w:pPr>
                          <w:r>
                            <w:rPr>
                              <w:b/>
                              <w:color w:val="365F91" w:themeColor="accent1" w:themeShade="BF"/>
                              <w:sz w:val="18"/>
                              <w:szCs w:val="18"/>
                            </w:rPr>
                            <w:t xml:space="preserve">Acting </w:t>
                          </w:r>
                          <w:r w:rsidRPr="00287C76">
                            <w:rPr>
                              <w:b/>
                              <w:color w:val="365F91" w:themeColor="accent1" w:themeShade="BF"/>
                              <w:sz w:val="18"/>
                              <w:szCs w:val="18"/>
                            </w:rPr>
                            <w:t>Commissioner</w:t>
                          </w:r>
                        </w:p>
                        <w:p w:rsidR="00F61805" w:rsidRPr="00287C76" w:rsidRDefault="00F61805" w:rsidP="004A2C04">
                          <w:pPr>
                            <w:tabs>
                              <w:tab w:val="left" w:pos="7560"/>
                            </w:tabs>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76C59" id="_x0000_s1027" type="#_x0000_t202" style="position:absolute;left:0;text-align:left;margin-left:-16.8pt;margin-top:36.6pt;width:126.6pt;height:29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" stroked="f">
              <v:textbox>
                <w:txbxContent>
                  <w:p w:rsidR="005E4FFE" w:rsidRPr="00287C76" w:rsidRDefault="005E4FFE" w:rsidP="005E4FFE">
                    <w:pPr>
                      <w:tabs>
                        <w:tab w:val="left" w:pos="7560"/>
                      </w:tabs>
                      <w:rPr>
                        <w:b/>
                        <w:color w:val="365F91" w:themeColor="accent1" w:themeShade="BF"/>
                        <w:sz w:val="18"/>
                        <w:szCs w:val="18"/>
                      </w:rPr>
                    </w:pPr>
                    <w:r>
                      <w:rPr>
                        <w:b/>
                        <w:color w:val="365F91" w:themeColor="accent1" w:themeShade="BF"/>
                        <w:sz w:val="18"/>
                        <w:szCs w:val="18"/>
                      </w:rPr>
                      <w:t xml:space="preserve">Jeanne M. </w:t>
                    </w:r>
                    <w:proofErr w:type="spellStart"/>
                    <w:r>
                      <w:rPr>
                        <w:b/>
                        <w:color w:val="365F91" w:themeColor="accent1" w:themeShade="BF"/>
                        <w:sz w:val="18"/>
                        <w:szCs w:val="18"/>
                      </w:rPr>
                      <w:t>Lambrew</w:t>
                    </w:r>
                    <w:proofErr w:type="spellEnd"/>
                    <w:r>
                      <w:rPr>
                        <w:b/>
                        <w:color w:val="365F91" w:themeColor="accent1" w:themeShade="BF"/>
                        <w:sz w:val="18"/>
                        <w:szCs w:val="18"/>
                      </w:rPr>
                      <w:t>, Ph.D.</w:t>
                    </w:r>
                  </w:p>
                  <w:p w:rsidR="005E4FFE" w:rsidRPr="00287C76" w:rsidRDefault="005E4FFE" w:rsidP="005E4FFE">
                    <w:pPr>
                      <w:tabs>
                        <w:tab w:val="left" w:pos="7560"/>
                      </w:tabs>
                      <w:rPr>
                        <w:sz w:val="18"/>
                        <w:szCs w:val="18"/>
                      </w:rPr>
                    </w:pPr>
                    <w:r>
                      <w:rPr>
                        <w:b/>
                        <w:color w:val="365F91" w:themeColor="accent1" w:themeShade="BF"/>
                        <w:sz w:val="18"/>
                        <w:szCs w:val="18"/>
                      </w:rPr>
                      <w:t xml:space="preserve">Acting </w:t>
                    </w:r>
                    <w:r w:rsidRPr="00287C76">
                      <w:rPr>
                        <w:b/>
                        <w:color w:val="365F91" w:themeColor="accent1" w:themeShade="BF"/>
                        <w:sz w:val="18"/>
                        <w:szCs w:val="18"/>
                      </w:rPr>
                      <w:t>Commissioner</w:t>
                    </w:r>
                  </w:p>
                  <w:p w:rsidR="00F61805" w:rsidRPr="00287C76" w:rsidRDefault="00F61805" w:rsidP="004A2C04">
                    <w:pPr>
                      <w:tabs>
                        <w:tab w:val="left" w:pos="7560"/>
                      </w:tabs>
                      <w:rPr>
                        <w:sz w:val="18"/>
                        <w:szCs w:val="18"/>
                      </w:rPr>
                    </w:pPr>
                  </w:p>
                </w:txbxContent>
              </v:textbox>
              <w10:wrap type="square" anchorx="margin"/>
            </v:shape>
          </w:pict>
        </mc:Fallback>
      </mc:AlternateContent>
    </w:r>
    <w:r w:rsidR="00CE0951" w:rsidRPr="00B238B0">
      <w:rPr>
        <w:noProof/>
      </w:rPr>
      <w:drawing>
        <wp:inline distT="0" distB="0" distL="0" distR="0" wp14:anchorId="086F0770" wp14:editId="267D096A">
          <wp:extent cx="704063" cy="7924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1401" cy="800740"/>
                  </a:xfrm>
                  <a:prstGeom prst="rect">
                    <a:avLst/>
                  </a:prstGeom>
                  <a:noFill/>
                  <a:ln>
                    <a:noFill/>
                  </a:ln>
                </pic:spPr>
              </pic:pic>
            </a:graphicData>
          </a:graphic>
        </wp:inline>
      </w:drawing>
    </w:r>
    <w:r w:rsidR="00853B30" w:rsidRPr="00137857">
      <w:rPr>
        <w:noProof/>
        <w:sz w:val="18"/>
        <w:szCs w:val="18"/>
      </w:rPr>
      <mc:AlternateContent>
        <mc:Choice Requires="wps">
          <w:drawing>
            <wp:anchor distT="45720" distB="45720" distL="114300" distR="114300" simplePos="0" relativeHeight="251663360" behindDoc="0" locked="0" layoutInCell="1" allowOverlap="1" wp14:anchorId="7952362A" wp14:editId="61F4D108">
              <wp:simplePos x="0" y="0"/>
              <wp:positionH relativeFrom="margin">
                <wp:posOffset>-198967</wp:posOffset>
              </wp:positionH>
              <wp:positionV relativeFrom="paragraph">
                <wp:posOffset>42122</wp:posOffset>
              </wp:positionV>
              <wp:extent cx="1124585" cy="3683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585" cy="368300"/>
                      </a:xfrm>
                      <a:prstGeom prst="rect">
                        <a:avLst/>
                      </a:prstGeom>
                      <a:solidFill>
                        <a:srgbClr val="FFFFFF"/>
                      </a:solidFill>
                      <a:ln w="9525">
                        <a:noFill/>
                        <a:miter lim="800000"/>
                        <a:headEnd/>
                        <a:tailEnd/>
                      </a:ln>
                    </wps:spPr>
                    <wps:txb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52362A" id="_x0000_s1028" type="#_x0000_t202" style="position:absolute;left:0;text-align:left;margin-left:-15.65pt;margin-top:3.3pt;width:88.55pt;height:29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" stroked="f">
              <v:textbox>
                <w:txbxContent>
                  <w:p w:rsidR="00F61805" w:rsidRPr="00287C76" w:rsidRDefault="0075217C" w:rsidP="00F61805">
                    <w:pPr>
                      <w:rPr>
                        <w:b/>
                        <w:color w:val="365F91" w:themeColor="accent1" w:themeShade="BF"/>
                        <w:sz w:val="18"/>
                        <w:szCs w:val="18"/>
                      </w:rPr>
                    </w:pPr>
                    <w:r>
                      <w:rPr>
                        <w:b/>
                        <w:color w:val="365F91" w:themeColor="accent1" w:themeShade="BF"/>
                        <w:sz w:val="18"/>
                        <w:szCs w:val="18"/>
                      </w:rPr>
                      <w:t>Janet T. Mills</w:t>
                    </w:r>
                  </w:p>
                  <w:p w:rsidR="00F61805" w:rsidRPr="00287C76" w:rsidRDefault="004A2C04" w:rsidP="00F61805">
                    <w:pPr>
                      <w:rPr>
                        <w:b/>
                        <w:color w:val="365F91" w:themeColor="accent1" w:themeShade="BF"/>
                        <w:sz w:val="18"/>
                        <w:szCs w:val="18"/>
                      </w:rPr>
                    </w:pPr>
                    <w:r w:rsidRPr="00287C76">
                      <w:rPr>
                        <w:b/>
                        <w:color w:val="365F91" w:themeColor="accent1" w:themeShade="BF"/>
                        <w:sz w:val="18"/>
                        <w:szCs w:val="18"/>
                      </w:rPr>
                      <w:t>Governor</w:t>
                    </w:r>
                  </w:p>
                  <w:p w:rsidR="00F61805" w:rsidRDefault="00F61805" w:rsidP="00F61805"/>
                </w:txbxContent>
              </v:textbox>
              <w10:wrap type="square" anchorx="margin"/>
            </v:shape>
          </w:pict>
        </mc:Fallback>
      </mc:AlternateContent>
    </w:r>
  </w:p>
  <w:p w:rsidR="007372BB" w:rsidRDefault="007372BB" w:rsidP="0013585E">
    <w:pPr>
      <w:jc w:val="right"/>
      <w:rPr>
        <w:sz w:val="18"/>
        <w:szCs w:val="18"/>
      </w:rPr>
    </w:pPr>
  </w:p>
  <w:p w:rsidR="00F61805" w:rsidRDefault="00F61805" w:rsidP="007372BB">
    <w:pPr>
      <w:tabs>
        <w:tab w:val="left" w:pos="7560"/>
      </w:tabs>
      <w:rPr>
        <w:b/>
        <w:color w:val="365F91" w:themeColor="accent1" w:themeShade="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0073" w:rsidRDefault="00F20073" w:rsidP="007372BB">
    <w:pPr>
      <w:tabs>
        <w:tab w:val="left" w:pos="7560"/>
      </w:tabs>
      <w:rPr>
        <w:b/>
        <w:color w:val="365F91" w:themeColor="accent1" w:themeShade="BF"/>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17A76"/>
    <w:multiLevelType w:val="hybridMultilevel"/>
    <w:tmpl w:val="1566380A"/>
    <w:lvl w:ilvl="0" w:tplc="8A7C38BA">
      <w:start w:val="1"/>
      <w:numFmt w:val="decimal"/>
      <w:lvlText w:val="%1."/>
      <w:lvlJc w:val="left"/>
      <w:pPr>
        <w:tabs>
          <w:tab w:val="num" w:pos="1440"/>
        </w:tabs>
        <w:ind w:left="1440" w:hanging="360"/>
      </w:pPr>
      <w:rPr>
        <w:rFonts w:hint="default"/>
        <w:color w:val="auto"/>
        <w:u w:val="none"/>
      </w:rPr>
    </w:lvl>
    <w:lvl w:ilvl="1" w:tplc="04090001">
      <w:start w:val="1"/>
      <w:numFmt w:val="bullet"/>
      <w:lvlText w:val=""/>
      <w:lvlJc w:val="left"/>
      <w:pPr>
        <w:tabs>
          <w:tab w:val="num" w:pos="1800"/>
        </w:tabs>
        <w:ind w:left="1800" w:hanging="360"/>
      </w:pPr>
      <w:rPr>
        <w:rFonts w:ascii="Symbol" w:hAnsi="Symbol" w:hint="default"/>
        <w:color w:val="auto"/>
        <w:u w:val="none"/>
      </w:rPr>
    </w:lvl>
    <w:lvl w:ilvl="2" w:tplc="A594B980">
      <w:start w:val="1"/>
      <w:numFmt w:val="bullet"/>
      <w:lvlText w:val=""/>
      <w:lvlJc w:val="left"/>
      <w:pPr>
        <w:tabs>
          <w:tab w:val="num" w:pos="2700"/>
        </w:tabs>
        <w:ind w:left="2700" w:hanging="360"/>
      </w:pPr>
      <w:rPr>
        <w:rFonts w:ascii="Symbol" w:hAnsi="Symbol" w:hint="default"/>
        <w:color w:val="auto"/>
        <w:u w:val="none"/>
      </w:rPr>
    </w:lvl>
    <w:lvl w:ilvl="3" w:tplc="0409000F">
      <w:start w:val="1"/>
      <w:numFmt w:val="decimal"/>
      <w:lvlText w:val="%4."/>
      <w:lvlJc w:val="left"/>
      <w:pPr>
        <w:tabs>
          <w:tab w:val="num" w:pos="3240"/>
        </w:tabs>
        <w:ind w:left="3240" w:hanging="360"/>
      </w:pPr>
    </w:lvl>
    <w:lvl w:ilvl="4" w:tplc="410E0652">
      <w:start w:val="1"/>
      <w:numFmt w:val="lowerLetter"/>
      <w:lvlText w:val="%5)"/>
      <w:lvlJc w:val="left"/>
      <w:pPr>
        <w:tabs>
          <w:tab w:val="num" w:pos="3960"/>
        </w:tabs>
        <w:ind w:left="3960" w:hanging="360"/>
      </w:pPr>
      <w:rPr>
        <w:rFonts w:hint="default"/>
        <w:color w:val="000000"/>
      </w:rPr>
    </w:lvl>
    <w:lvl w:ilvl="5" w:tplc="0409001B">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6BA60DED"/>
    <w:multiLevelType w:val="hybridMultilevel"/>
    <w:tmpl w:val="0C241880"/>
    <w:lvl w:ilvl="0" w:tplc="ED02E2EC">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AA1"/>
    <w:rsid w:val="0001689D"/>
    <w:rsid w:val="00031551"/>
    <w:rsid w:val="00037C80"/>
    <w:rsid w:val="00071861"/>
    <w:rsid w:val="000848DB"/>
    <w:rsid w:val="000D047A"/>
    <w:rsid w:val="000D391A"/>
    <w:rsid w:val="0013585E"/>
    <w:rsid w:val="0014256A"/>
    <w:rsid w:val="001A4B4F"/>
    <w:rsid w:val="001A5049"/>
    <w:rsid w:val="001C3158"/>
    <w:rsid w:val="001E4CA5"/>
    <w:rsid w:val="00220B01"/>
    <w:rsid w:val="0023685D"/>
    <w:rsid w:val="00263AA1"/>
    <w:rsid w:val="0028264F"/>
    <w:rsid w:val="00287C76"/>
    <w:rsid w:val="002E3734"/>
    <w:rsid w:val="00311948"/>
    <w:rsid w:val="00387A76"/>
    <w:rsid w:val="0039381B"/>
    <w:rsid w:val="00425186"/>
    <w:rsid w:val="004333B7"/>
    <w:rsid w:val="00434046"/>
    <w:rsid w:val="00465EF6"/>
    <w:rsid w:val="00472B90"/>
    <w:rsid w:val="00475E01"/>
    <w:rsid w:val="004A2C04"/>
    <w:rsid w:val="004D40A4"/>
    <w:rsid w:val="004F4154"/>
    <w:rsid w:val="00560F0F"/>
    <w:rsid w:val="00580738"/>
    <w:rsid w:val="005D5693"/>
    <w:rsid w:val="005D69B9"/>
    <w:rsid w:val="005E4FFE"/>
    <w:rsid w:val="005F0E73"/>
    <w:rsid w:val="00600766"/>
    <w:rsid w:val="00695A3C"/>
    <w:rsid w:val="00697912"/>
    <w:rsid w:val="006B0904"/>
    <w:rsid w:val="006D2C00"/>
    <w:rsid w:val="006E466A"/>
    <w:rsid w:val="006F357F"/>
    <w:rsid w:val="007372BB"/>
    <w:rsid w:val="0075217C"/>
    <w:rsid w:val="0076607E"/>
    <w:rsid w:val="0079011C"/>
    <w:rsid w:val="007B6AB2"/>
    <w:rsid w:val="00853B30"/>
    <w:rsid w:val="008735F3"/>
    <w:rsid w:val="008A6029"/>
    <w:rsid w:val="00925CAF"/>
    <w:rsid w:val="00997CD5"/>
    <w:rsid w:val="009B2F14"/>
    <w:rsid w:val="00A013B9"/>
    <w:rsid w:val="00A045E1"/>
    <w:rsid w:val="00A06BB9"/>
    <w:rsid w:val="00A52029"/>
    <w:rsid w:val="00A644DA"/>
    <w:rsid w:val="00AC5146"/>
    <w:rsid w:val="00B15BA7"/>
    <w:rsid w:val="00B53BA6"/>
    <w:rsid w:val="00B85133"/>
    <w:rsid w:val="00BB52B1"/>
    <w:rsid w:val="00BC1FC1"/>
    <w:rsid w:val="00BE7DFC"/>
    <w:rsid w:val="00BF0698"/>
    <w:rsid w:val="00C02B3F"/>
    <w:rsid w:val="00C31B31"/>
    <w:rsid w:val="00CE0951"/>
    <w:rsid w:val="00CE2A4E"/>
    <w:rsid w:val="00D469F4"/>
    <w:rsid w:val="00DD28D1"/>
    <w:rsid w:val="00EB1407"/>
    <w:rsid w:val="00EB174E"/>
    <w:rsid w:val="00EC6C15"/>
    <w:rsid w:val="00ED34F2"/>
    <w:rsid w:val="00ED727C"/>
    <w:rsid w:val="00F20073"/>
    <w:rsid w:val="00F24FAF"/>
    <w:rsid w:val="00F61805"/>
    <w:rsid w:val="00F64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10CA6"/>
  <w15:chartTrackingRefBased/>
  <w15:docId w15:val="{220C6C31-DD25-4BDB-902E-00F1D3850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3AA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3AA1"/>
    <w:pPr>
      <w:tabs>
        <w:tab w:val="center" w:pos="4680"/>
        <w:tab w:val="right" w:pos="9360"/>
      </w:tabs>
    </w:pPr>
  </w:style>
  <w:style w:type="character" w:customStyle="1" w:styleId="HeaderChar">
    <w:name w:val="Header Char"/>
    <w:basedOn w:val="DefaultParagraphFont"/>
    <w:link w:val="Header"/>
    <w:uiPriority w:val="99"/>
    <w:rsid w:val="00263AA1"/>
    <w:rPr>
      <w:rFonts w:ascii="Times New Roman" w:eastAsia="Times New Roman" w:hAnsi="Times New Roman" w:cs="Times New Roman"/>
      <w:sz w:val="24"/>
      <w:szCs w:val="20"/>
    </w:rPr>
  </w:style>
  <w:style w:type="paragraph" w:styleId="Footer">
    <w:name w:val="footer"/>
    <w:basedOn w:val="Normal"/>
    <w:link w:val="FooterChar"/>
    <w:unhideWhenUsed/>
    <w:rsid w:val="00263AA1"/>
    <w:pPr>
      <w:tabs>
        <w:tab w:val="center" w:pos="4680"/>
        <w:tab w:val="right" w:pos="9360"/>
      </w:tabs>
    </w:pPr>
  </w:style>
  <w:style w:type="character" w:customStyle="1" w:styleId="FooterChar">
    <w:name w:val="Footer Char"/>
    <w:basedOn w:val="DefaultParagraphFont"/>
    <w:link w:val="Footer"/>
    <w:uiPriority w:val="99"/>
    <w:rsid w:val="00263AA1"/>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B15B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BA7"/>
    <w:rPr>
      <w:rFonts w:ascii="Segoe UI" w:eastAsia="Times New Roman" w:hAnsi="Segoe UI" w:cs="Segoe UI"/>
      <w:sz w:val="18"/>
      <w:szCs w:val="18"/>
    </w:rPr>
  </w:style>
  <w:style w:type="character" w:styleId="Hyperlink">
    <w:name w:val="Hyperlink"/>
    <w:rsid w:val="006979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maine.gov/healthinspecti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C0C18-6DC2-48E9-B572-420B1E2BA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Tunks, Norma M.</dc:creator>
  <cp:keywords/>
  <dc:description/>
  <cp:lastModifiedBy>Silva, Lisa</cp:lastModifiedBy>
  <cp:revision>2</cp:revision>
  <cp:lastPrinted>2018-12-04T16:43:00Z</cp:lastPrinted>
  <dcterms:created xsi:type="dcterms:W3CDTF">2019-01-08T18:07:00Z</dcterms:created>
  <dcterms:modified xsi:type="dcterms:W3CDTF">2019-01-08T18:07:00Z</dcterms:modified>
</cp:coreProperties>
</file>